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AEAD12" w14:textId="77777777" w:rsidR="00517386" w:rsidRDefault="00517386" w:rsidP="00517386">
      <w:r w:rsidRPr="00460124">
        <w:rPr>
          <w:rFonts w:ascii="Arial" w:hAnsi="Arial" w:cs="Arial"/>
          <w:noProof/>
          <w:lang w:eastAsia="en-GB"/>
        </w:rPr>
        <w:drawing>
          <wp:anchor distT="0" distB="0" distL="114300" distR="114300" simplePos="0" relativeHeight="251658240" behindDoc="1" locked="0" layoutInCell="1" allowOverlap="1" wp14:anchorId="3C6BFF45" wp14:editId="43198FF2">
            <wp:simplePos x="0" y="0"/>
            <wp:positionH relativeFrom="margin">
              <wp:align>center</wp:align>
            </wp:positionH>
            <wp:positionV relativeFrom="paragraph">
              <wp:posOffset>0</wp:posOffset>
            </wp:positionV>
            <wp:extent cx="4219575" cy="883920"/>
            <wp:effectExtent l="0" t="0" r="9525" b="0"/>
            <wp:wrapTight wrapText="bothSides">
              <wp:wrapPolygon edited="0">
                <wp:start x="0" y="0"/>
                <wp:lineTo x="0" y="20948"/>
                <wp:lineTo x="21551" y="20948"/>
                <wp:lineTo x="21551" y="0"/>
                <wp:lineTo x="0" y="0"/>
              </wp:wrapPolygon>
            </wp:wrapTight>
            <wp:docPr id="4" name="Picture 4" descr="Image result for public law projec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public law project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19575" cy="8839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9325725" w14:textId="77777777" w:rsidR="00517386" w:rsidRPr="00F94713" w:rsidRDefault="00517386" w:rsidP="00F94713">
      <w:pPr>
        <w:jc w:val="center"/>
        <w:rPr>
          <w:b/>
        </w:rPr>
      </w:pPr>
    </w:p>
    <w:p w14:paraId="632B5FBF" w14:textId="77777777" w:rsidR="00023EB2" w:rsidRDefault="00023EB2" w:rsidP="00120C85">
      <w:pPr>
        <w:spacing w:line="240" w:lineRule="auto"/>
        <w:jc w:val="center"/>
        <w:rPr>
          <w:rFonts w:ascii="Arial" w:hAnsi="Arial" w:cs="Arial"/>
          <w:b/>
          <w:u w:val="single"/>
        </w:rPr>
      </w:pPr>
    </w:p>
    <w:p w14:paraId="6B45E47B" w14:textId="63482E76" w:rsidR="00F94713" w:rsidRPr="00460124" w:rsidRDefault="00F94713" w:rsidP="00120C85">
      <w:pPr>
        <w:spacing w:line="240" w:lineRule="auto"/>
        <w:jc w:val="center"/>
        <w:rPr>
          <w:rFonts w:ascii="Arial" w:hAnsi="Arial" w:cs="Arial"/>
          <w:b/>
          <w:u w:val="single"/>
        </w:rPr>
      </w:pPr>
      <w:bookmarkStart w:id="0" w:name="_GoBack"/>
      <w:bookmarkEnd w:id="0"/>
      <w:r w:rsidRPr="00460124">
        <w:rPr>
          <w:rFonts w:ascii="Arial" w:hAnsi="Arial" w:cs="Arial"/>
          <w:b/>
          <w:u w:val="single"/>
        </w:rPr>
        <w:t>European Union (Withdrawal) Bill</w:t>
      </w:r>
    </w:p>
    <w:p w14:paraId="735B2BCE" w14:textId="77777777" w:rsidR="00F94713" w:rsidRPr="00460124" w:rsidRDefault="00F94713" w:rsidP="00120C85">
      <w:pPr>
        <w:spacing w:line="240" w:lineRule="auto"/>
        <w:jc w:val="center"/>
        <w:rPr>
          <w:rFonts w:ascii="Arial" w:hAnsi="Arial" w:cs="Arial"/>
          <w:b/>
          <w:u w:val="single"/>
        </w:rPr>
      </w:pPr>
      <w:r>
        <w:rPr>
          <w:rFonts w:ascii="Arial" w:hAnsi="Arial" w:cs="Arial"/>
          <w:b/>
          <w:u w:val="single"/>
        </w:rPr>
        <w:t>Second Reading in the House of Lords</w:t>
      </w:r>
      <w:r w:rsidR="00E11A15">
        <w:rPr>
          <w:rFonts w:ascii="Arial" w:hAnsi="Arial" w:cs="Arial"/>
          <w:b/>
          <w:u w:val="single"/>
        </w:rPr>
        <w:t xml:space="preserve">: </w:t>
      </w:r>
      <w:r w:rsidR="00C13C7A">
        <w:rPr>
          <w:rFonts w:ascii="Arial" w:hAnsi="Arial" w:cs="Arial"/>
          <w:b/>
          <w:u w:val="single"/>
        </w:rPr>
        <w:t>Three</w:t>
      </w:r>
      <w:r w:rsidR="00E11A15">
        <w:rPr>
          <w:rFonts w:ascii="Arial" w:hAnsi="Arial" w:cs="Arial"/>
          <w:b/>
          <w:u w:val="single"/>
        </w:rPr>
        <w:t xml:space="preserve"> Key Issues</w:t>
      </w:r>
    </w:p>
    <w:p w14:paraId="0BAC780C" w14:textId="77777777" w:rsidR="00CD5D61" w:rsidRDefault="00F94713" w:rsidP="00120C85">
      <w:pPr>
        <w:spacing w:line="240" w:lineRule="auto"/>
        <w:jc w:val="center"/>
        <w:rPr>
          <w:rFonts w:ascii="Arial" w:hAnsi="Arial" w:cs="Arial"/>
          <w:b/>
          <w:u w:val="single"/>
        </w:rPr>
      </w:pPr>
      <w:r>
        <w:rPr>
          <w:rFonts w:ascii="Arial" w:hAnsi="Arial" w:cs="Arial"/>
          <w:b/>
          <w:u w:val="single"/>
        </w:rPr>
        <w:t xml:space="preserve">Public Law Project, </w:t>
      </w:r>
      <w:r w:rsidRPr="00460124">
        <w:rPr>
          <w:rFonts w:ascii="Arial" w:hAnsi="Arial" w:cs="Arial"/>
          <w:b/>
          <w:u w:val="single"/>
        </w:rPr>
        <w:t>January 2018</w:t>
      </w:r>
    </w:p>
    <w:p w14:paraId="728621B9" w14:textId="77777777" w:rsidR="00120C85" w:rsidRPr="00F94713" w:rsidRDefault="00120C85" w:rsidP="00120C85">
      <w:pPr>
        <w:spacing w:line="240" w:lineRule="auto"/>
        <w:jc w:val="center"/>
        <w:rPr>
          <w:rFonts w:ascii="Arial" w:hAnsi="Arial" w:cs="Arial"/>
          <w:b/>
          <w:u w:val="single"/>
        </w:rPr>
      </w:pPr>
    </w:p>
    <w:p w14:paraId="1EC8AD58" w14:textId="77777777" w:rsidR="00A842E5" w:rsidRPr="00A842E5" w:rsidRDefault="00CD5D61" w:rsidP="00A842E5">
      <w:pPr>
        <w:pStyle w:val="ListParagraph"/>
        <w:numPr>
          <w:ilvl w:val="0"/>
          <w:numId w:val="3"/>
        </w:numPr>
        <w:jc w:val="both"/>
        <w:rPr>
          <w:rFonts w:ascii="Arial" w:hAnsi="Arial" w:cs="Arial"/>
          <w:b/>
        </w:rPr>
      </w:pPr>
      <w:r w:rsidRPr="0065786A">
        <w:rPr>
          <w:rFonts w:ascii="Arial" w:hAnsi="Arial" w:cs="Arial"/>
          <w:b/>
        </w:rPr>
        <w:t xml:space="preserve">The Bill weakens fundamental rights protections. </w:t>
      </w:r>
      <w:r w:rsidRPr="0065786A">
        <w:rPr>
          <w:rFonts w:ascii="Arial" w:hAnsi="Arial" w:cs="Arial"/>
        </w:rPr>
        <w:t xml:space="preserve">The Government’s stated purpose of the Bill is to take a “snapshot” of EU law rather than to make </w:t>
      </w:r>
      <w:r w:rsidR="00C13C7A">
        <w:rPr>
          <w:rFonts w:ascii="Arial" w:hAnsi="Arial" w:cs="Arial"/>
        </w:rPr>
        <w:t xml:space="preserve">substantive </w:t>
      </w:r>
      <w:r w:rsidRPr="0065786A">
        <w:rPr>
          <w:rFonts w:ascii="Arial" w:hAnsi="Arial" w:cs="Arial"/>
        </w:rPr>
        <w:t>policy changes</w:t>
      </w:r>
      <w:r w:rsidR="00C13C7A">
        <w:rPr>
          <w:rFonts w:ascii="Arial" w:hAnsi="Arial" w:cs="Arial"/>
        </w:rPr>
        <w:t xml:space="preserve"> such as to weaken rights protections</w:t>
      </w:r>
      <w:r w:rsidRPr="0065786A">
        <w:rPr>
          <w:rFonts w:ascii="Arial" w:hAnsi="Arial" w:cs="Arial"/>
        </w:rPr>
        <w:t xml:space="preserve">. </w:t>
      </w:r>
      <w:r w:rsidR="00A842E5">
        <w:rPr>
          <w:rFonts w:ascii="Arial" w:hAnsi="Arial" w:cs="Arial"/>
        </w:rPr>
        <w:t>While</w:t>
      </w:r>
      <w:r w:rsidRPr="0065786A">
        <w:rPr>
          <w:rFonts w:ascii="Arial" w:hAnsi="Arial" w:cs="Arial"/>
        </w:rPr>
        <w:t xml:space="preserve"> the Bill </w:t>
      </w:r>
      <w:r w:rsidR="00C13C7A">
        <w:rPr>
          <w:rFonts w:ascii="Arial" w:hAnsi="Arial" w:cs="Arial"/>
        </w:rPr>
        <w:t xml:space="preserve">deliberately excludes </w:t>
      </w:r>
      <w:r w:rsidRPr="0065786A">
        <w:rPr>
          <w:rFonts w:ascii="Arial" w:hAnsi="Arial" w:cs="Arial"/>
        </w:rPr>
        <w:t>the EU Charter of Fundamental Rights</w:t>
      </w:r>
      <w:r w:rsidR="00517386" w:rsidRPr="0065786A">
        <w:rPr>
          <w:rStyle w:val="FootnoteReference"/>
          <w:rFonts w:ascii="Arial" w:hAnsi="Arial" w:cs="Arial"/>
        </w:rPr>
        <w:t xml:space="preserve"> </w:t>
      </w:r>
      <w:r w:rsidR="00517386" w:rsidRPr="0065786A">
        <w:rPr>
          <w:rFonts w:ascii="Arial" w:hAnsi="Arial" w:cs="Arial"/>
        </w:rPr>
        <w:t>(clause 5(4)</w:t>
      </w:r>
      <w:r w:rsidR="0065786A" w:rsidRPr="0065786A">
        <w:rPr>
          <w:rFonts w:ascii="Arial" w:hAnsi="Arial" w:cs="Arial"/>
        </w:rPr>
        <w:t>)</w:t>
      </w:r>
      <w:r w:rsidR="00A842E5">
        <w:rPr>
          <w:rFonts w:ascii="Arial" w:hAnsi="Arial" w:cs="Arial"/>
        </w:rPr>
        <w:t xml:space="preserve">, it </w:t>
      </w:r>
      <w:r w:rsidR="00C13C7A">
        <w:rPr>
          <w:rFonts w:ascii="Arial" w:hAnsi="Arial" w:cs="Arial"/>
        </w:rPr>
        <w:t xml:space="preserve">purports </w:t>
      </w:r>
      <w:r w:rsidR="0065786A">
        <w:rPr>
          <w:rFonts w:ascii="Arial" w:hAnsi="Arial" w:cs="Arial"/>
        </w:rPr>
        <w:t>to protect the fundamental rights which exist in EU law irrespective of the Charter (clause 5(5))</w:t>
      </w:r>
      <w:r w:rsidRPr="0065786A">
        <w:rPr>
          <w:rFonts w:ascii="Arial" w:hAnsi="Arial" w:cs="Arial"/>
        </w:rPr>
        <w:t>.</w:t>
      </w:r>
      <w:r w:rsidR="00517386" w:rsidRPr="0065786A">
        <w:rPr>
          <w:rFonts w:ascii="Arial" w:hAnsi="Arial" w:cs="Arial"/>
        </w:rPr>
        <w:t xml:space="preserve"> </w:t>
      </w:r>
      <w:r w:rsidR="0065786A">
        <w:rPr>
          <w:rFonts w:ascii="Arial" w:hAnsi="Arial" w:cs="Arial"/>
        </w:rPr>
        <w:t>Th</w:t>
      </w:r>
      <w:r w:rsidR="00C13C7A">
        <w:rPr>
          <w:rFonts w:ascii="Arial" w:hAnsi="Arial" w:cs="Arial"/>
        </w:rPr>
        <w:t>ey</w:t>
      </w:r>
      <w:r w:rsidR="0065786A">
        <w:rPr>
          <w:rFonts w:ascii="Arial" w:hAnsi="Arial" w:cs="Arial"/>
        </w:rPr>
        <w:t xml:space="preserve"> include</w:t>
      </w:r>
      <w:r w:rsidR="00A842E5">
        <w:rPr>
          <w:rFonts w:ascii="Arial" w:hAnsi="Arial" w:cs="Arial"/>
        </w:rPr>
        <w:t xml:space="preserve"> rights which are g</w:t>
      </w:r>
      <w:r w:rsidR="00517386" w:rsidRPr="0065786A">
        <w:rPr>
          <w:rFonts w:ascii="Arial" w:hAnsi="Arial" w:cs="Arial"/>
        </w:rPr>
        <w:t xml:space="preserve">eneral </w:t>
      </w:r>
      <w:r w:rsidR="00A842E5">
        <w:rPr>
          <w:rFonts w:ascii="Arial" w:hAnsi="Arial" w:cs="Arial"/>
        </w:rPr>
        <w:t>p</w:t>
      </w:r>
      <w:r w:rsidR="00517386" w:rsidRPr="0065786A">
        <w:rPr>
          <w:rFonts w:ascii="Arial" w:hAnsi="Arial" w:cs="Arial"/>
        </w:rPr>
        <w:t>rinciples</w:t>
      </w:r>
      <w:r w:rsidR="0065786A">
        <w:rPr>
          <w:rFonts w:ascii="Arial" w:hAnsi="Arial" w:cs="Arial"/>
        </w:rPr>
        <w:t xml:space="preserve"> of EU law, </w:t>
      </w:r>
      <w:r w:rsidR="00517386" w:rsidRPr="0065786A">
        <w:rPr>
          <w:rFonts w:ascii="Arial" w:hAnsi="Arial" w:cs="Arial"/>
        </w:rPr>
        <w:t>such as the right to an effective remedy</w:t>
      </w:r>
      <w:r w:rsidR="00120C85" w:rsidRPr="0065786A">
        <w:rPr>
          <w:rFonts w:ascii="Arial" w:hAnsi="Arial" w:cs="Arial"/>
        </w:rPr>
        <w:t xml:space="preserve"> and prohibitions on discrimination</w:t>
      </w:r>
      <w:r w:rsidR="00F94713" w:rsidRPr="0065786A">
        <w:rPr>
          <w:rFonts w:ascii="Arial" w:hAnsi="Arial" w:cs="Arial"/>
        </w:rPr>
        <w:t xml:space="preserve">. </w:t>
      </w:r>
      <w:r w:rsidR="0065786A">
        <w:rPr>
          <w:rFonts w:ascii="Arial" w:hAnsi="Arial" w:cs="Arial"/>
        </w:rPr>
        <w:t>The general principles of EU law</w:t>
      </w:r>
      <w:r w:rsidR="0065786A" w:rsidRPr="0065786A">
        <w:rPr>
          <w:rFonts w:ascii="Arial" w:hAnsi="Arial" w:cs="Arial"/>
        </w:rPr>
        <w:t xml:space="preserve"> </w:t>
      </w:r>
      <w:r w:rsidR="00F94713" w:rsidRPr="0065786A">
        <w:rPr>
          <w:rFonts w:ascii="Arial" w:hAnsi="Arial" w:cs="Arial"/>
        </w:rPr>
        <w:t xml:space="preserve">also </w:t>
      </w:r>
      <w:r w:rsidR="0065786A">
        <w:rPr>
          <w:rFonts w:ascii="Arial" w:hAnsi="Arial" w:cs="Arial"/>
        </w:rPr>
        <w:t>include</w:t>
      </w:r>
      <w:r w:rsidR="00F94713" w:rsidRPr="0065786A">
        <w:rPr>
          <w:rFonts w:ascii="Arial" w:hAnsi="Arial" w:cs="Arial"/>
        </w:rPr>
        <w:t xml:space="preserve"> </w:t>
      </w:r>
      <w:r w:rsidR="00517386" w:rsidRPr="0065786A">
        <w:rPr>
          <w:rFonts w:ascii="Arial" w:hAnsi="Arial" w:cs="Arial"/>
        </w:rPr>
        <w:t xml:space="preserve">broader principles such as legal certainty and proportionality. </w:t>
      </w:r>
      <w:r w:rsidR="00A17961">
        <w:rPr>
          <w:rFonts w:ascii="Arial" w:hAnsi="Arial" w:cs="Arial"/>
        </w:rPr>
        <w:t>However,</w:t>
      </w:r>
      <w:r w:rsidR="0065786A">
        <w:rPr>
          <w:rFonts w:ascii="Arial" w:hAnsi="Arial" w:cs="Arial"/>
        </w:rPr>
        <w:t xml:space="preserve"> paragraph 3 of Schedule 1 would remove a right of action based on the </w:t>
      </w:r>
      <w:r w:rsidR="00A17961">
        <w:rPr>
          <w:rFonts w:ascii="Arial" w:hAnsi="Arial" w:cs="Arial"/>
        </w:rPr>
        <w:t>g</w:t>
      </w:r>
      <w:r w:rsidR="0065786A">
        <w:rPr>
          <w:rFonts w:ascii="Arial" w:hAnsi="Arial" w:cs="Arial"/>
        </w:rPr>
        <w:t xml:space="preserve">eneral </w:t>
      </w:r>
      <w:r w:rsidR="00A17961">
        <w:rPr>
          <w:rFonts w:ascii="Arial" w:hAnsi="Arial" w:cs="Arial"/>
        </w:rPr>
        <w:t>p</w:t>
      </w:r>
      <w:r w:rsidR="0065786A">
        <w:rPr>
          <w:rFonts w:ascii="Arial" w:hAnsi="Arial" w:cs="Arial"/>
        </w:rPr>
        <w:t>rinciples</w:t>
      </w:r>
      <w:r w:rsidR="00A842E5">
        <w:rPr>
          <w:rFonts w:ascii="Arial" w:hAnsi="Arial" w:cs="Arial"/>
        </w:rPr>
        <w:t xml:space="preserve">. This would </w:t>
      </w:r>
      <w:r w:rsidR="0065786A">
        <w:rPr>
          <w:rFonts w:ascii="Arial" w:hAnsi="Arial" w:cs="Arial"/>
        </w:rPr>
        <w:t xml:space="preserve">prevent the </w:t>
      </w:r>
      <w:r w:rsidR="00A842E5">
        <w:rPr>
          <w:rFonts w:ascii="Arial" w:hAnsi="Arial" w:cs="Arial"/>
        </w:rPr>
        <w:t>c</w:t>
      </w:r>
      <w:r w:rsidR="0065786A">
        <w:rPr>
          <w:rFonts w:ascii="Arial" w:hAnsi="Arial" w:cs="Arial"/>
        </w:rPr>
        <w:t xml:space="preserve">ourts from disapplying laws </w:t>
      </w:r>
      <w:r w:rsidR="009D1A0D">
        <w:rPr>
          <w:rFonts w:ascii="Arial" w:hAnsi="Arial" w:cs="Arial"/>
        </w:rPr>
        <w:t xml:space="preserve">and overturning decisions </w:t>
      </w:r>
      <w:r w:rsidR="0065786A">
        <w:rPr>
          <w:rFonts w:ascii="Arial" w:hAnsi="Arial" w:cs="Arial"/>
        </w:rPr>
        <w:t>which are incompatible with those principles</w:t>
      </w:r>
      <w:r w:rsidR="009D1A0D">
        <w:rPr>
          <w:rFonts w:ascii="Arial" w:hAnsi="Arial" w:cs="Arial"/>
        </w:rPr>
        <w:t>,</w:t>
      </w:r>
      <w:r w:rsidR="0065786A">
        <w:rPr>
          <w:rFonts w:ascii="Arial" w:hAnsi="Arial" w:cs="Arial"/>
        </w:rPr>
        <w:t xml:space="preserve"> including where they breach fundamental rights</w:t>
      </w:r>
      <w:r w:rsidR="00A17961">
        <w:rPr>
          <w:rFonts w:ascii="Arial" w:hAnsi="Arial" w:cs="Arial"/>
        </w:rPr>
        <w:t xml:space="preserve">, and including where </w:t>
      </w:r>
      <w:r w:rsidR="00111D60">
        <w:rPr>
          <w:rFonts w:ascii="Arial" w:hAnsi="Arial" w:cs="Arial"/>
        </w:rPr>
        <w:t>a</w:t>
      </w:r>
      <w:r w:rsidR="00A17961">
        <w:rPr>
          <w:rFonts w:ascii="Arial" w:hAnsi="Arial" w:cs="Arial"/>
        </w:rPr>
        <w:t xml:space="preserve"> </w:t>
      </w:r>
      <w:r w:rsidR="00A842E5">
        <w:rPr>
          <w:rFonts w:ascii="Arial" w:hAnsi="Arial" w:cs="Arial"/>
        </w:rPr>
        <w:t>proper</w:t>
      </w:r>
      <w:r w:rsidR="00111D60">
        <w:rPr>
          <w:rFonts w:ascii="Arial" w:hAnsi="Arial" w:cs="Arial"/>
        </w:rPr>
        <w:t xml:space="preserve"> </w:t>
      </w:r>
      <w:r w:rsidR="00A17961">
        <w:rPr>
          <w:rFonts w:ascii="Arial" w:hAnsi="Arial" w:cs="Arial"/>
        </w:rPr>
        <w:t xml:space="preserve">snapshot of EU law would </w:t>
      </w:r>
      <w:r w:rsidR="00A842E5">
        <w:rPr>
          <w:rFonts w:ascii="Arial" w:hAnsi="Arial" w:cs="Arial"/>
        </w:rPr>
        <w:t xml:space="preserve">have yielded a different result. </w:t>
      </w:r>
      <w:r w:rsidR="0065786A" w:rsidRPr="00A842E5">
        <w:rPr>
          <w:rFonts w:ascii="Arial" w:hAnsi="Arial" w:cs="Arial"/>
        </w:rPr>
        <w:t xml:space="preserve">Regardless of the merits of retaining a right of action based on a breach of these principles, the Withdrawal Bill is not the vehicle to make </w:t>
      </w:r>
      <w:r w:rsidR="009D1A0D" w:rsidRPr="00A842E5">
        <w:rPr>
          <w:rFonts w:ascii="Arial" w:hAnsi="Arial" w:cs="Arial"/>
        </w:rPr>
        <w:t xml:space="preserve">such </w:t>
      </w:r>
      <w:r w:rsidR="0065786A" w:rsidRPr="00A842E5">
        <w:rPr>
          <w:rFonts w:ascii="Arial" w:hAnsi="Arial" w:cs="Arial"/>
        </w:rPr>
        <w:t xml:space="preserve">a significant policy change. The Bill is vast in scope and offers limited opportunity for Parliamentary scrutiny. </w:t>
      </w:r>
      <w:r w:rsidR="00A842E5" w:rsidRPr="00A842E5">
        <w:rPr>
          <w:rFonts w:ascii="Arial" w:hAnsi="Arial" w:cs="Arial"/>
        </w:rPr>
        <w:t>Debate as</w:t>
      </w:r>
      <w:r w:rsidR="00A17961" w:rsidRPr="00A842E5">
        <w:rPr>
          <w:rFonts w:ascii="Arial" w:hAnsi="Arial" w:cs="Arial"/>
        </w:rPr>
        <w:t xml:space="preserve"> to the appropriate protection to be given to </w:t>
      </w:r>
      <w:r w:rsidR="0065786A" w:rsidRPr="00A842E5">
        <w:rPr>
          <w:rFonts w:ascii="Arial" w:hAnsi="Arial" w:cs="Arial"/>
        </w:rPr>
        <w:t xml:space="preserve">fundamental rights </w:t>
      </w:r>
      <w:r w:rsidR="00A17961" w:rsidRPr="00A842E5">
        <w:rPr>
          <w:rFonts w:ascii="Arial" w:hAnsi="Arial" w:cs="Arial"/>
        </w:rPr>
        <w:t xml:space="preserve">can, and </w:t>
      </w:r>
      <w:r w:rsidR="0065786A" w:rsidRPr="00A842E5">
        <w:rPr>
          <w:rFonts w:ascii="Arial" w:hAnsi="Arial" w:cs="Arial"/>
        </w:rPr>
        <w:t>should</w:t>
      </w:r>
      <w:r w:rsidR="00A17961" w:rsidRPr="00A842E5">
        <w:rPr>
          <w:rFonts w:ascii="Arial" w:hAnsi="Arial" w:cs="Arial"/>
        </w:rPr>
        <w:t>,</w:t>
      </w:r>
      <w:r w:rsidR="0065786A" w:rsidRPr="00A842E5">
        <w:rPr>
          <w:rFonts w:ascii="Arial" w:hAnsi="Arial" w:cs="Arial"/>
        </w:rPr>
        <w:t xml:space="preserve"> take place at a later date.</w:t>
      </w:r>
    </w:p>
    <w:p w14:paraId="13AEDB9E" w14:textId="77777777" w:rsidR="00CD5D61" w:rsidRPr="00460124" w:rsidRDefault="00A842E5" w:rsidP="00A842E5">
      <w:pPr>
        <w:pStyle w:val="ListParagraph"/>
        <w:ind w:left="360"/>
        <w:jc w:val="both"/>
        <w:rPr>
          <w:rFonts w:ascii="Arial" w:hAnsi="Arial" w:cs="Arial"/>
          <w:b/>
        </w:rPr>
      </w:pPr>
      <w:r w:rsidRPr="00460124">
        <w:rPr>
          <w:rFonts w:ascii="Arial" w:hAnsi="Arial" w:cs="Arial"/>
          <w:b/>
        </w:rPr>
        <w:t xml:space="preserve"> </w:t>
      </w:r>
    </w:p>
    <w:p w14:paraId="362BFD4A" w14:textId="77777777" w:rsidR="00CD5D61" w:rsidRPr="00460124" w:rsidRDefault="00CD5D61" w:rsidP="00A842E5">
      <w:pPr>
        <w:pStyle w:val="ListParagraph"/>
        <w:numPr>
          <w:ilvl w:val="0"/>
          <w:numId w:val="3"/>
        </w:numPr>
        <w:jc w:val="both"/>
        <w:rPr>
          <w:rFonts w:ascii="Arial" w:hAnsi="Arial" w:cs="Arial"/>
        </w:rPr>
      </w:pPr>
      <w:r w:rsidRPr="00460124">
        <w:rPr>
          <w:rFonts w:ascii="Arial" w:hAnsi="Arial" w:cs="Arial"/>
          <w:b/>
        </w:rPr>
        <w:t xml:space="preserve">Ministers, rather than Parliament, are ‘taking back control’. </w:t>
      </w:r>
      <w:r w:rsidRPr="00460124">
        <w:rPr>
          <w:rFonts w:ascii="Arial" w:hAnsi="Arial" w:cs="Arial"/>
        </w:rPr>
        <w:t xml:space="preserve"> The Bill confers unjustifiably broad powers on Ministers to amend both primary and secondary legislation, with </w:t>
      </w:r>
      <w:r w:rsidR="00517386">
        <w:rPr>
          <w:rFonts w:ascii="Arial" w:hAnsi="Arial" w:cs="Arial"/>
        </w:rPr>
        <w:t xml:space="preserve">inadequate </w:t>
      </w:r>
      <w:r w:rsidRPr="00460124">
        <w:rPr>
          <w:rFonts w:ascii="Arial" w:hAnsi="Arial" w:cs="Arial"/>
        </w:rPr>
        <w:t>oversight from Parliament. The Bill allows Ministers to make “any provision that could be made by an Act of Parliament”</w:t>
      </w:r>
      <w:r w:rsidR="00517386">
        <w:rPr>
          <w:rStyle w:val="FootnoteReference"/>
          <w:rFonts w:ascii="Arial" w:hAnsi="Arial" w:cs="Arial"/>
        </w:rPr>
        <w:t xml:space="preserve"> </w:t>
      </w:r>
      <w:r w:rsidR="00517386">
        <w:rPr>
          <w:rFonts w:ascii="Arial" w:hAnsi="Arial" w:cs="Arial"/>
        </w:rPr>
        <w:t xml:space="preserve"> (clause 7(4)) </w:t>
      </w:r>
      <w:r w:rsidRPr="00460124">
        <w:rPr>
          <w:rFonts w:ascii="Arial" w:hAnsi="Arial" w:cs="Arial"/>
        </w:rPr>
        <w:t>that they consider “appropriate”</w:t>
      </w:r>
      <w:r w:rsidR="00C74831">
        <w:rPr>
          <w:rStyle w:val="FootnoteReference"/>
          <w:rFonts w:ascii="Arial" w:hAnsi="Arial" w:cs="Arial"/>
        </w:rPr>
        <w:t xml:space="preserve"> </w:t>
      </w:r>
      <w:r w:rsidR="00C74831">
        <w:rPr>
          <w:rFonts w:ascii="Arial" w:hAnsi="Arial" w:cs="Arial"/>
        </w:rPr>
        <w:t>(clause 7(1)</w:t>
      </w:r>
      <w:r w:rsidR="00120C85">
        <w:rPr>
          <w:rFonts w:ascii="Arial" w:hAnsi="Arial" w:cs="Arial"/>
        </w:rPr>
        <w:t>)</w:t>
      </w:r>
      <w:r w:rsidR="00C74831">
        <w:rPr>
          <w:rFonts w:ascii="Arial" w:hAnsi="Arial" w:cs="Arial"/>
        </w:rPr>
        <w:t xml:space="preserve"> </w:t>
      </w:r>
      <w:r w:rsidRPr="00460124">
        <w:rPr>
          <w:rFonts w:ascii="Arial" w:hAnsi="Arial" w:cs="Arial"/>
        </w:rPr>
        <w:t xml:space="preserve">to ensure a smooth Brexit. The </w:t>
      </w:r>
      <w:r w:rsidR="00F94713">
        <w:rPr>
          <w:rFonts w:ascii="Arial" w:hAnsi="Arial" w:cs="Arial"/>
        </w:rPr>
        <w:t xml:space="preserve">Government’s </w:t>
      </w:r>
      <w:r w:rsidRPr="00460124">
        <w:rPr>
          <w:rFonts w:ascii="Arial" w:hAnsi="Arial" w:cs="Arial"/>
        </w:rPr>
        <w:t xml:space="preserve">White Paper </w:t>
      </w:r>
      <w:r w:rsidR="00C74831">
        <w:rPr>
          <w:rFonts w:ascii="Arial" w:hAnsi="Arial" w:cs="Arial"/>
        </w:rPr>
        <w:t xml:space="preserve">to the Bill </w:t>
      </w:r>
      <w:r w:rsidRPr="00460124">
        <w:rPr>
          <w:rFonts w:ascii="Arial" w:hAnsi="Arial" w:cs="Arial"/>
        </w:rPr>
        <w:t>recognised the need to balance the importance of Parliamentary scrutiny with giving Ministers the flexibility needed to act swiftly to ensure a smooth Brexit. However, the Bill in its present form strikes the wrong balance. The powers are so broadly drafted that they allow Ministers to set up entire public bodies or even introduce criminal offences with sentences of up to two years</w:t>
      </w:r>
      <w:r w:rsidR="00E11A15">
        <w:rPr>
          <w:rFonts w:ascii="Arial" w:hAnsi="Arial" w:cs="Arial"/>
        </w:rPr>
        <w:t xml:space="preserve"> (clauses 7(7)c and</w:t>
      </w:r>
      <w:r w:rsidR="00E11A15" w:rsidRPr="00A73C4F">
        <w:rPr>
          <w:rFonts w:ascii="Arial" w:hAnsi="Arial" w:cs="Arial"/>
        </w:rPr>
        <w:t xml:space="preserve"> 14(1)</w:t>
      </w:r>
      <w:r w:rsidR="00E11A15">
        <w:rPr>
          <w:rFonts w:ascii="Arial" w:hAnsi="Arial" w:cs="Arial"/>
        </w:rPr>
        <w:t>)</w:t>
      </w:r>
      <w:r w:rsidR="00A842E5">
        <w:rPr>
          <w:rFonts w:ascii="Arial" w:hAnsi="Arial" w:cs="Arial"/>
        </w:rPr>
        <w:t>. T</w:t>
      </w:r>
      <w:r w:rsidRPr="00460124">
        <w:rPr>
          <w:rFonts w:ascii="Arial" w:hAnsi="Arial" w:cs="Arial"/>
        </w:rPr>
        <w:t xml:space="preserve">heir scope is uncertain and their purpose ill-defined. </w:t>
      </w:r>
    </w:p>
    <w:p w14:paraId="50A0BEE6" w14:textId="77777777" w:rsidR="00CD5D61" w:rsidRPr="00460124" w:rsidRDefault="00CD5D61" w:rsidP="00A842E5">
      <w:pPr>
        <w:pStyle w:val="ListParagraph"/>
        <w:jc w:val="both"/>
        <w:rPr>
          <w:rFonts w:ascii="Arial" w:hAnsi="Arial" w:cs="Arial"/>
        </w:rPr>
      </w:pPr>
    </w:p>
    <w:p w14:paraId="41C84E2E" w14:textId="77777777" w:rsidR="00CD5D61" w:rsidRPr="00F94713" w:rsidRDefault="00E11A15" w:rsidP="00A842E5">
      <w:pPr>
        <w:pStyle w:val="ListParagraph"/>
        <w:numPr>
          <w:ilvl w:val="0"/>
          <w:numId w:val="3"/>
        </w:numPr>
        <w:jc w:val="both"/>
        <w:rPr>
          <w:rFonts w:ascii="Arial" w:hAnsi="Arial" w:cs="Arial"/>
          <w:i/>
        </w:rPr>
      </w:pPr>
      <w:r>
        <w:rPr>
          <w:rFonts w:ascii="Arial" w:hAnsi="Arial" w:cs="Arial"/>
          <w:noProof/>
          <w:sz w:val="24"/>
          <w:szCs w:val="24"/>
          <w:lang w:eastAsia="en-GB"/>
        </w:rPr>
        <mc:AlternateContent>
          <mc:Choice Requires="wps">
            <w:drawing>
              <wp:anchor distT="0" distB="0" distL="114300" distR="114300" simplePos="0" relativeHeight="251660288" behindDoc="0" locked="0" layoutInCell="1" allowOverlap="1" wp14:anchorId="51F24FA2" wp14:editId="57E5D0C4">
                <wp:simplePos x="0" y="0"/>
                <wp:positionH relativeFrom="column">
                  <wp:posOffset>198755</wp:posOffset>
                </wp:positionH>
                <wp:positionV relativeFrom="paragraph">
                  <wp:posOffset>1406525</wp:posOffset>
                </wp:positionV>
                <wp:extent cx="5657850" cy="830580"/>
                <wp:effectExtent l="19050" t="19050" r="19050" b="2667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7850" cy="830580"/>
                        </a:xfrm>
                        <a:prstGeom prst="rect">
                          <a:avLst/>
                        </a:prstGeom>
                        <a:solidFill>
                          <a:srgbClr val="FFFFFF"/>
                        </a:solidFill>
                        <a:ln w="28575">
                          <a:solidFill>
                            <a:srgbClr val="000000"/>
                          </a:solidFill>
                          <a:miter lim="800000"/>
                          <a:headEnd/>
                          <a:tailEnd/>
                        </a:ln>
                      </wps:spPr>
                      <wps:txbx>
                        <w:txbxContent>
                          <w:p w14:paraId="511D9245" w14:textId="77777777" w:rsidR="00E11A15" w:rsidRPr="00853B1C" w:rsidRDefault="00E11A15" w:rsidP="00E11A15">
                            <w:pPr>
                              <w:jc w:val="center"/>
                              <w:rPr>
                                <w:rFonts w:ascii="Arial" w:hAnsi="Arial" w:cs="Arial"/>
                                <w:sz w:val="24"/>
                                <w:szCs w:val="24"/>
                              </w:rPr>
                            </w:pPr>
                            <w:r w:rsidRPr="00853B1C">
                              <w:rPr>
                                <w:rFonts w:ascii="Arial" w:hAnsi="Arial" w:cs="Arial"/>
                                <w:sz w:val="24"/>
                                <w:szCs w:val="24"/>
                              </w:rPr>
                              <w:t xml:space="preserve">For more information </w:t>
                            </w:r>
                            <w:r>
                              <w:rPr>
                                <w:rFonts w:ascii="Arial" w:hAnsi="Arial" w:cs="Arial"/>
                                <w:sz w:val="24"/>
                                <w:szCs w:val="24"/>
                              </w:rPr>
                              <w:t xml:space="preserve">about these issues or to discuss the public law issues arising from the Bill, </w:t>
                            </w:r>
                            <w:r w:rsidRPr="00853B1C">
                              <w:rPr>
                                <w:rFonts w:ascii="Arial" w:hAnsi="Arial" w:cs="Arial"/>
                                <w:sz w:val="24"/>
                                <w:szCs w:val="24"/>
                              </w:rPr>
                              <w:t>please contact PLP’s Legal Director, Alison Pickup,</w:t>
                            </w:r>
                            <w:r>
                              <w:rPr>
                                <w:rFonts w:ascii="Arial" w:hAnsi="Arial" w:cs="Arial"/>
                                <w:sz w:val="24"/>
                                <w:szCs w:val="24"/>
                              </w:rPr>
                              <w:t xml:space="preserve"> on</w:t>
                            </w:r>
                            <w:r w:rsidRPr="00853B1C">
                              <w:rPr>
                                <w:rFonts w:ascii="Arial" w:hAnsi="Arial" w:cs="Arial"/>
                                <w:sz w:val="24"/>
                                <w:szCs w:val="24"/>
                              </w:rPr>
                              <w:t xml:space="preserve"> </w:t>
                            </w:r>
                            <w:hyperlink r:id="rId9" w:history="1">
                              <w:r w:rsidRPr="00853B1C">
                                <w:rPr>
                                  <w:rStyle w:val="Hyperlink"/>
                                  <w:rFonts w:ascii="Arial" w:hAnsi="Arial" w:cs="Arial"/>
                                  <w:sz w:val="24"/>
                                  <w:szCs w:val="24"/>
                                </w:rPr>
                                <w:t>a.pickup@publiclawproject.org.uk</w:t>
                              </w:r>
                            </w:hyperlink>
                            <w:r>
                              <w:rPr>
                                <w:rFonts w:ascii="Arial" w:hAnsi="Arial" w:cs="Arial"/>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0B4DEDD" id="_x0000_t202" coordsize="21600,21600" o:spt="202" path="m,l,21600r21600,l21600,xe">
                <v:stroke joinstyle="miter"/>
                <v:path gradientshapeok="t" o:connecttype="rect"/>
              </v:shapetype>
              <v:shape id="Text Box 2" o:spid="_x0000_s1026" type="#_x0000_t202" style="position:absolute;left:0;text-align:left;margin-left:15.65pt;margin-top:110.75pt;width:445.5pt;height:6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" strokeweight="2.25pt">
                <v:textbox>
                  <w:txbxContent>
                    <w:p w:rsidR="00E11A15" w:rsidRPr="00853B1C" w:rsidRDefault="00E11A15" w:rsidP="00E11A15">
                      <w:pPr>
                        <w:jc w:val="center"/>
                        <w:rPr>
                          <w:rFonts w:ascii="Arial" w:hAnsi="Arial" w:cs="Arial"/>
                          <w:sz w:val="24"/>
                          <w:szCs w:val="24"/>
                        </w:rPr>
                      </w:pPr>
                      <w:r w:rsidRPr="00853B1C">
                        <w:rPr>
                          <w:rFonts w:ascii="Arial" w:hAnsi="Arial" w:cs="Arial"/>
                          <w:sz w:val="24"/>
                          <w:szCs w:val="24"/>
                        </w:rPr>
                        <w:t xml:space="preserve">For more information </w:t>
                      </w:r>
                      <w:r>
                        <w:rPr>
                          <w:rFonts w:ascii="Arial" w:hAnsi="Arial" w:cs="Arial"/>
                          <w:sz w:val="24"/>
                          <w:szCs w:val="24"/>
                        </w:rPr>
                        <w:t xml:space="preserve">about these issues or to discuss the public law issues arising from the Bill, </w:t>
                      </w:r>
                      <w:r w:rsidRPr="00853B1C">
                        <w:rPr>
                          <w:rFonts w:ascii="Arial" w:hAnsi="Arial" w:cs="Arial"/>
                          <w:sz w:val="24"/>
                          <w:szCs w:val="24"/>
                        </w:rPr>
                        <w:t>please contact PLP’s Legal Director, Alison Pickup,</w:t>
                      </w:r>
                      <w:r>
                        <w:rPr>
                          <w:rFonts w:ascii="Arial" w:hAnsi="Arial" w:cs="Arial"/>
                          <w:sz w:val="24"/>
                          <w:szCs w:val="24"/>
                        </w:rPr>
                        <w:t xml:space="preserve"> on</w:t>
                      </w:r>
                      <w:r w:rsidRPr="00853B1C">
                        <w:rPr>
                          <w:rFonts w:ascii="Arial" w:hAnsi="Arial" w:cs="Arial"/>
                          <w:sz w:val="24"/>
                          <w:szCs w:val="24"/>
                        </w:rPr>
                        <w:t xml:space="preserve"> </w:t>
                      </w:r>
                      <w:hyperlink r:id="rId10" w:history="1">
                        <w:r w:rsidRPr="00853B1C">
                          <w:rPr>
                            <w:rStyle w:val="Hyperlink"/>
                            <w:rFonts w:ascii="Arial" w:hAnsi="Arial" w:cs="Arial"/>
                            <w:sz w:val="24"/>
                            <w:szCs w:val="24"/>
                          </w:rPr>
                          <w:t>a.pickup@publiclawproject.org.uk</w:t>
                        </w:r>
                      </w:hyperlink>
                      <w:r>
                        <w:rPr>
                          <w:rFonts w:ascii="Arial" w:hAnsi="Arial" w:cs="Arial"/>
                          <w:sz w:val="24"/>
                          <w:szCs w:val="24"/>
                        </w:rPr>
                        <w:t>.</w:t>
                      </w:r>
                    </w:p>
                  </w:txbxContent>
                </v:textbox>
              </v:shape>
            </w:pict>
          </mc:Fallback>
        </mc:AlternateContent>
      </w:r>
      <w:r w:rsidR="00CD5D61" w:rsidRPr="00460124">
        <w:rPr>
          <w:rFonts w:ascii="Arial" w:hAnsi="Arial" w:cs="Arial"/>
          <w:b/>
        </w:rPr>
        <w:t xml:space="preserve">The Bill is unclear on important issues arising from preserving and converting EU law into domestic law. </w:t>
      </w:r>
      <w:r w:rsidR="00436B25">
        <w:rPr>
          <w:rFonts w:ascii="Arial" w:hAnsi="Arial" w:cs="Arial"/>
        </w:rPr>
        <w:t>While the</w:t>
      </w:r>
      <w:r w:rsidR="00CD5D61" w:rsidRPr="00460124">
        <w:rPr>
          <w:rFonts w:ascii="Arial" w:hAnsi="Arial" w:cs="Arial"/>
        </w:rPr>
        <w:t xml:space="preserve"> Bill</w:t>
      </w:r>
      <w:r w:rsidR="00436B25">
        <w:rPr>
          <w:rFonts w:ascii="Arial" w:hAnsi="Arial" w:cs="Arial"/>
        </w:rPr>
        <w:t xml:space="preserve"> purportedly takes a “snapshot” of EU law on exit day, it</w:t>
      </w:r>
      <w:r w:rsidR="00CD5D61" w:rsidRPr="00460124">
        <w:rPr>
          <w:rFonts w:ascii="Arial" w:hAnsi="Arial" w:cs="Arial"/>
        </w:rPr>
        <w:t xml:space="preserve"> does not adequately address several difficulties with converting large swathes of EU law into domestic law. What status will retained EU law have? Will it be possible to challenge retained EU law? What role will the Court of Justice of the European Union play going forward? The final version of the Bill must provide absolute clarity on these issues to ensure legal certainty and uphold the Rule of Law.</w:t>
      </w:r>
      <w:r w:rsidRPr="00E11A15">
        <w:rPr>
          <w:rFonts w:ascii="Arial" w:hAnsi="Arial" w:cs="Arial"/>
          <w:noProof/>
          <w:sz w:val="24"/>
          <w:szCs w:val="24"/>
          <w:lang w:eastAsia="en-GB"/>
        </w:rPr>
        <w:t xml:space="preserve"> </w:t>
      </w:r>
    </w:p>
    <w:sectPr w:rsidR="00CD5D61" w:rsidRPr="00F94713" w:rsidSect="00023EB2">
      <w:pgSz w:w="11906" w:h="16838"/>
      <w:pgMar w:top="1134"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03374D" w14:textId="77777777" w:rsidR="00A054C6" w:rsidRDefault="00A054C6" w:rsidP="00CD5D61">
      <w:pPr>
        <w:spacing w:after="0" w:line="240" w:lineRule="auto"/>
      </w:pPr>
      <w:r>
        <w:separator/>
      </w:r>
    </w:p>
  </w:endnote>
  <w:endnote w:type="continuationSeparator" w:id="0">
    <w:p w14:paraId="3F15A5B5" w14:textId="77777777" w:rsidR="00A054C6" w:rsidRDefault="00A054C6" w:rsidP="00CD5D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571057" w14:textId="77777777" w:rsidR="00A054C6" w:rsidRDefault="00A054C6" w:rsidP="00CD5D61">
      <w:pPr>
        <w:spacing w:after="0" w:line="240" w:lineRule="auto"/>
      </w:pPr>
      <w:r>
        <w:separator/>
      </w:r>
    </w:p>
  </w:footnote>
  <w:footnote w:type="continuationSeparator" w:id="0">
    <w:p w14:paraId="13A1A8B7" w14:textId="77777777" w:rsidR="00A054C6" w:rsidRDefault="00A054C6" w:rsidP="00CD5D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2B3DF1"/>
    <w:multiLevelType w:val="hybridMultilevel"/>
    <w:tmpl w:val="1CC048D8"/>
    <w:lvl w:ilvl="0" w:tplc="08090017">
      <w:start w:val="1"/>
      <w:numFmt w:val="lowerLetter"/>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 w15:restartNumberingAfterBreak="0">
    <w:nsid w:val="435A0EBE"/>
    <w:multiLevelType w:val="hybridMultilevel"/>
    <w:tmpl w:val="E794B212"/>
    <w:lvl w:ilvl="0" w:tplc="1302AFC2">
      <w:start w:val="1"/>
      <w:numFmt w:val="decimal"/>
      <w:lvlText w:val="%1."/>
      <w:lvlJc w:val="left"/>
      <w:pPr>
        <w:ind w:left="720" w:hanging="360"/>
      </w:pPr>
      <w:rPr>
        <w:rFonts w:asciiTheme="minorHAnsi" w:eastAsiaTheme="minorHAnsi" w:hAnsiTheme="minorHAnsi" w:cstheme="minorBidi"/>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43F733E"/>
    <w:multiLevelType w:val="hybridMultilevel"/>
    <w:tmpl w:val="C00ACD28"/>
    <w:lvl w:ilvl="0" w:tplc="52C2354A">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D61"/>
    <w:rsid w:val="00023EB2"/>
    <w:rsid w:val="00111D60"/>
    <w:rsid w:val="00120C85"/>
    <w:rsid w:val="003A1FE8"/>
    <w:rsid w:val="003C5843"/>
    <w:rsid w:val="003E57CE"/>
    <w:rsid w:val="00436B25"/>
    <w:rsid w:val="00517386"/>
    <w:rsid w:val="0065786A"/>
    <w:rsid w:val="009D1A0D"/>
    <w:rsid w:val="00A054C6"/>
    <w:rsid w:val="00A17961"/>
    <w:rsid w:val="00A842E5"/>
    <w:rsid w:val="00C13C7A"/>
    <w:rsid w:val="00C74831"/>
    <w:rsid w:val="00CD5D61"/>
    <w:rsid w:val="00D122C1"/>
    <w:rsid w:val="00E11A15"/>
    <w:rsid w:val="00E371E8"/>
    <w:rsid w:val="00F947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9B36C"/>
  <w15:docId w15:val="{2882A549-A4F5-4488-9A12-D9A6A5299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D5D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5D61"/>
    <w:rPr>
      <w:rFonts w:ascii="Tahoma" w:hAnsi="Tahoma" w:cs="Tahoma"/>
      <w:sz w:val="16"/>
      <w:szCs w:val="16"/>
    </w:rPr>
  </w:style>
  <w:style w:type="paragraph" w:styleId="ListParagraph">
    <w:name w:val="List Paragraph"/>
    <w:basedOn w:val="Normal"/>
    <w:uiPriority w:val="34"/>
    <w:qFormat/>
    <w:rsid w:val="00CD5D61"/>
    <w:pPr>
      <w:ind w:left="720"/>
      <w:contextualSpacing/>
    </w:pPr>
  </w:style>
  <w:style w:type="paragraph" w:styleId="FootnoteText">
    <w:name w:val="footnote text"/>
    <w:basedOn w:val="Normal"/>
    <w:link w:val="FootnoteTextChar"/>
    <w:uiPriority w:val="99"/>
    <w:unhideWhenUsed/>
    <w:rsid w:val="00CD5D61"/>
    <w:pPr>
      <w:spacing w:after="0" w:line="240" w:lineRule="auto"/>
    </w:pPr>
    <w:rPr>
      <w:sz w:val="20"/>
      <w:szCs w:val="20"/>
    </w:rPr>
  </w:style>
  <w:style w:type="character" w:customStyle="1" w:styleId="FootnoteTextChar">
    <w:name w:val="Footnote Text Char"/>
    <w:basedOn w:val="DefaultParagraphFont"/>
    <w:link w:val="FootnoteText"/>
    <w:uiPriority w:val="99"/>
    <w:rsid w:val="00CD5D61"/>
    <w:rPr>
      <w:sz w:val="20"/>
      <w:szCs w:val="20"/>
    </w:rPr>
  </w:style>
  <w:style w:type="character" w:styleId="FootnoteReference">
    <w:name w:val="footnote reference"/>
    <w:basedOn w:val="DefaultParagraphFont"/>
    <w:uiPriority w:val="99"/>
    <w:unhideWhenUsed/>
    <w:rsid w:val="00CD5D61"/>
    <w:rPr>
      <w:vertAlign w:val="superscript"/>
    </w:rPr>
  </w:style>
  <w:style w:type="character" w:styleId="Hyperlink">
    <w:name w:val="Hyperlink"/>
    <w:basedOn w:val="DefaultParagraphFont"/>
    <w:uiPriority w:val="99"/>
    <w:unhideWhenUsed/>
    <w:rsid w:val="00CD5D61"/>
    <w:rPr>
      <w:color w:val="0000FF"/>
      <w:u w:val="single"/>
    </w:rPr>
  </w:style>
  <w:style w:type="paragraph" w:styleId="Header">
    <w:name w:val="header"/>
    <w:basedOn w:val="Normal"/>
    <w:link w:val="HeaderChar"/>
    <w:uiPriority w:val="99"/>
    <w:unhideWhenUsed/>
    <w:rsid w:val="00F9471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4713"/>
  </w:style>
  <w:style w:type="paragraph" w:styleId="Footer">
    <w:name w:val="footer"/>
    <w:basedOn w:val="Normal"/>
    <w:link w:val="FooterChar"/>
    <w:uiPriority w:val="99"/>
    <w:unhideWhenUsed/>
    <w:rsid w:val="00F947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47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a.pickup@publiclawproject.org.uk" TargetMode="External"/><Relationship Id="rId4" Type="http://schemas.openxmlformats.org/officeDocument/2006/relationships/settings" Target="settings.xml"/><Relationship Id="rId9" Type="http://schemas.openxmlformats.org/officeDocument/2006/relationships/hyperlink" Target="mailto:a.pickup@publiclawproject.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C00900-B857-460B-8870-595AD2F52C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449</Words>
  <Characters>2565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Ollie Persey</dc:creator>
  <cp:lastModifiedBy>Sophie Vincett</cp:lastModifiedBy>
  <cp:revision>3</cp:revision>
  <dcterms:created xsi:type="dcterms:W3CDTF">2018-01-30T15:07:00Z</dcterms:created>
  <dcterms:modified xsi:type="dcterms:W3CDTF">2018-01-30T15:07:00Z</dcterms:modified>
</cp:coreProperties>
</file>